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B927D" w14:textId="3023EF99" w:rsidR="00590F31" w:rsidRPr="007815E8" w:rsidRDefault="00590F31" w:rsidP="00590F31">
      <w:pPr>
        <w:jc w:val="center"/>
        <w:rPr>
          <w:rFonts w:ascii="Baskerville Old Face" w:hAnsi="Baskerville Old Face"/>
          <w:b/>
          <w:bCs/>
          <w:sz w:val="24"/>
          <w:szCs w:val="24"/>
          <w:highlight w:val="yellow"/>
          <w:u w:val="single"/>
        </w:rPr>
      </w:pPr>
      <w:r w:rsidRPr="007815E8">
        <w:rPr>
          <w:rFonts w:ascii="Baskerville Old Face" w:hAnsi="Baskerville Old Face"/>
          <w:b/>
          <w:bCs/>
          <w:sz w:val="24"/>
          <w:szCs w:val="24"/>
          <w:highlight w:val="yellow"/>
          <w:u w:val="single"/>
        </w:rPr>
        <w:t>TEMA: EL SENTÍ</w:t>
      </w:r>
      <w:r w:rsidR="007815E8" w:rsidRPr="007815E8">
        <w:rPr>
          <w:rFonts w:ascii="Baskerville Old Face" w:hAnsi="Baskerville Old Face"/>
          <w:b/>
          <w:bCs/>
          <w:sz w:val="24"/>
          <w:szCs w:val="24"/>
          <w:highlight w:val="yellow"/>
          <w:u w:val="single"/>
        </w:rPr>
        <w:t>R</w:t>
      </w:r>
      <w:r w:rsidRPr="007815E8">
        <w:rPr>
          <w:rFonts w:ascii="Baskerville Old Face" w:hAnsi="Baskerville Old Face"/>
          <w:b/>
          <w:bCs/>
          <w:sz w:val="24"/>
          <w:szCs w:val="24"/>
          <w:highlight w:val="yellow"/>
          <w:u w:val="single"/>
        </w:rPr>
        <w:t xml:space="preserve"> – PENSAR Y EL DÍALOGO DE SABERES</w:t>
      </w:r>
    </w:p>
    <w:p w14:paraId="6DAB86F0" w14:textId="3D6A896A" w:rsidR="007815E8" w:rsidRPr="007815E8" w:rsidRDefault="007815E8" w:rsidP="00590F31">
      <w:pPr>
        <w:jc w:val="center"/>
        <w:rPr>
          <w:rFonts w:ascii="Baskerville Old Face" w:hAnsi="Baskerville Old Face"/>
          <w:b/>
          <w:bCs/>
          <w:sz w:val="24"/>
          <w:szCs w:val="24"/>
          <w:highlight w:val="yellow"/>
          <w:u w:val="single"/>
        </w:rPr>
      </w:pPr>
      <w:r w:rsidRPr="007815E8">
        <w:rPr>
          <w:rFonts w:ascii="Baskerville Old Face" w:hAnsi="Baskerville Old Face"/>
          <w:b/>
          <w:bCs/>
          <w:sz w:val="24"/>
          <w:szCs w:val="24"/>
          <w:highlight w:val="yellow"/>
          <w:u w:val="single"/>
        </w:rPr>
        <w:t xml:space="preserve">MÓDULO 3: NOTAS SOBRE EL DIÁLOGO DE SABERES </w:t>
      </w:r>
    </w:p>
    <w:p w14:paraId="3B267C1A" w14:textId="10C10A4A" w:rsidR="007815E8" w:rsidRDefault="007815E8" w:rsidP="00590F31">
      <w:pPr>
        <w:jc w:val="center"/>
        <w:rPr>
          <w:rFonts w:ascii="Baskerville Old Face" w:hAnsi="Baskerville Old Face"/>
          <w:b/>
          <w:bCs/>
          <w:sz w:val="24"/>
          <w:szCs w:val="24"/>
          <w:u w:val="single"/>
        </w:rPr>
      </w:pPr>
      <w:r w:rsidRPr="007815E8">
        <w:rPr>
          <w:rFonts w:ascii="Baskerville Old Face" w:hAnsi="Baskerville Old Face"/>
          <w:b/>
          <w:bCs/>
          <w:sz w:val="24"/>
          <w:szCs w:val="24"/>
          <w:highlight w:val="yellow"/>
          <w:u w:val="single"/>
        </w:rPr>
        <w:t>JORGE ISHIZAWA (PRATEC)</w:t>
      </w:r>
    </w:p>
    <w:p w14:paraId="393D1A34" w14:textId="782310A8" w:rsidR="00590F31" w:rsidRDefault="00590F31" w:rsidP="00590F31">
      <w:pPr>
        <w:jc w:val="both"/>
        <w:rPr>
          <w:rFonts w:ascii="Baskerville Old Face" w:hAnsi="Baskerville Old Face"/>
          <w:b/>
          <w:bCs/>
          <w:sz w:val="24"/>
          <w:szCs w:val="24"/>
        </w:rPr>
      </w:pPr>
    </w:p>
    <w:p w14:paraId="74430014" w14:textId="763EF2E9" w:rsidR="00590F31" w:rsidRDefault="00590F31" w:rsidP="00590F31">
      <w:pPr>
        <w:jc w:val="both"/>
        <w:rPr>
          <w:rFonts w:ascii="Baskerville Old Face" w:hAnsi="Baskerville Old Face"/>
          <w:b/>
          <w:bCs/>
          <w:sz w:val="24"/>
          <w:szCs w:val="24"/>
        </w:rPr>
      </w:pPr>
      <w:r>
        <w:rPr>
          <w:rFonts w:ascii="Baskerville Old Face" w:hAnsi="Baskerville Old Face"/>
          <w:b/>
          <w:bCs/>
          <w:sz w:val="24"/>
          <w:szCs w:val="24"/>
        </w:rPr>
        <w:t>El diálogo de saberes como la relación mutuamente enriquecedora entre personas y culturas, se da en diversas situaciones y contextos, encarnada en personas y colectivos de culturas diversas</w:t>
      </w:r>
      <w:r w:rsidR="00BB520B">
        <w:rPr>
          <w:rFonts w:ascii="Baskerville Old Face" w:hAnsi="Baskerville Old Face"/>
          <w:b/>
          <w:bCs/>
          <w:sz w:val="24"/>
          <w:szCs w:val="24"/>
        </w:rPr>
        <w:t xml:space="preserve"> vinculadas por el complejo de actividades, </w:t>
      </w:r>
      <w:r w:rsidR="003373C2">
        <w:rPr>
          <w:rFonts w:ascii="Baskerville Old Face" w:hAnsi="Baskerville Old Face"/>
          <w:b/>
          <w:bCs/>
          <w:sz w:val="24"/>
          <w:szCs w:val="24"/>
        </w:rPr>
        <w:t>comportamientos,</w:t>
      </w:r>
      <w:r w:rsidR="00BB520B">
        <w:rPr>
          <w:rFonts w:ascii="Baskerville Old Face" w:hAnsi="Baskerville Old Face"/>
          <w:b/>
          <w:bCs/>
          <w:sz w:val="24"/>
          <w:szCs w:val="24"/>
        </w:rPr>
        <w:t xml:space="preserve"> motivaciones.</w:t>
      </w:r>
    </w:p>
    <w:p w14:paraId="67F9D465" w14:textId="6BF8827B" w:rsidR="003373C2" w:rsidRDefault="003373C2" w:rsidP="00590F31">
      <w:pPr>
        <w:jc w:val="both"/>
        <w:rPr>
          <w:rFonts w:ascii="Baskerville Old Face" w:hAnsi="Baskerville Old Face"/>
          <w:b/>
          <w:bCs/>
          <w:sz w:val="24"/>
          <w:szCs w:val="24"/>
        </w:rPr>
      </w:pPr>
      <w:r>
        <w:rPr>
          <w:rFonts w:ascii="Baskerville Old Face" w:hAnsi="Baskerville Old Face"/>
          <w:b/>
          <w:bCs/>
          <w:sz w:val="24"/>
          <w:szCs w:val="24"/>
        </w:rPr>
        <w:t xml:space="preserve">En </w:t>
      </w:r>
      <w:r w:rsidR="007815E8">
        <w:rPr>
          <w:rFonts w:ascii="Baskerville Old Face" w:hAnsi="Baskerville Old Face"/>
          <w:b/>
          <w:bCs/>
          <w:sz w:val="24"/>
          <w:szCs w:val="24"/>
        </w:rPr>
        <w:t>efecto,</w:t>
      </w:r>
      <w:r>
        <w:rPr>
          <w:rFonts w:ascii="Baskerville Old Face" w:hAnsi="Baskerville Old Face"/>
          <w:b/>
          <w:bCs/>
          <w:sz w:val="24"/>
          <w:szCs w:val="24"/>
        </w:rPr>
        <w:t xml:space="preserve"> como tema de reflexión el diálogo de saberes exige mucho más que la construcción mecánica de un rompecabezas mental, ninguna prete</w:t>
      </w:r>
      <w:r w:rsidR="00B57FAE">
        <w:rPr>
          <w:rFonts w:ascii="Baskerville Old Face" w:hAnsi="Baskerville Old Face"/>
          <w:b/>
          <w:bCs/>
          <w:sz w:val="24"/>
          <w:szCs w:val="24"/>
        </w:rPr>
        <w:t>nsión existe de que el proceso sea de enseñanza – aprendizaje en este universo sólo podemos estar constantemente aprendiendo a aprender unos de otros.</w:t>
      </w:r>
    </w:p>
    <w:p w14:paraId="68C4D86A" w14:textId="786E98B0" w:rsidR="00C378C4" w:rsidRDefault="00C378C4" w:rsidP="00590F31">
      <w:pPr>
        <w:jc w:val="both"/>
        <w:rPr>
          <w:rFonts w:ascii="Baskerville Old Face" w:hAnsi="Baskerville Old Face"/>
          <w:b/>
          <w:bCs/>
          <w:sz w:val="24"/>
          <w:szCs w:val="24"/>
        </w:rPr>
      </w:pPr>
      <w:r>
        <w:rPr>
          <w:rFonts w:ascii="Baskerville Old Face" w:hAnsi="Baskerville Old Face"/>
          <w:b/>
          <w:bCs/>
          <w:sz w:val="24"/>
          <w:szCs w:val="24"/>
        </w:rPr>
        <w:t xml:space="preserve">“casa adentro, casa afuera </w:t>
      </w:r>
      <w:r w:rsidR="007815E8">
        <w:rPr>
          <w:rFonts w:ascii="Baskerville Old Face" w:hAnsi="Baskerville Old Face"/>
          <w:b/>
          <w:bCs/>
          <w:sz w:val="24"/>
          <w:szCs w:val="24"/>
        </w:rPr>
        <w:t>“se</w:t>
      </w:r>
      <w:r>
        <w:rPr>
          <w:rFonts w:ascii="Baskerville Old Face" w:hAnsi="Baskerville Old Face"/>
          <w:b/>
          <w:bCs/>
          <w:sz w:val="24"/>
          <w:szCs w:val="24"/>
        </w:rPr>
        <w:t xml:space="preserve"> refiere a una manera de entender la interioridad y la exterioridad en la elaboración de los saberes, es decir la adoptamos como una alternativa al concepto sistémico</w:t>
      </w:r>
      <w:r w:rsidR="00C409A7">
        <w:rPr>
          <w:rFonts w:ascii="Baskerville Old Face" w:hAnsi="Baskerville Old Face"/>
          <w:b/>
          <w:bCs/>
          <w:sz w:val="24"/>
          <w:szCs w:val="24"/>
        </w:rPr>
        <w:t xml:space="preserve"> de contexto, en éste el cierre, los </w:t>
      </w:r>
      <w:r w:rsidR="007815E8">
        <w:rPr>
          <w:rFonts w:ascii="Baskerville Old Face" w:hAnsi="Baskerville Old Face"/>
          <w:b/>
          <w:bCs/>
          <w:sz w:val="24"/>
          <w:szCs w:val="24"/>
        </w:rPr>
        <w:t>límites,</w:t>
      </w:r>
      <w:r w:rsidR="00C409A7">
        <w:rPr>
          <w:rFonts w:ascii="Baskerville Old Face" w:hAnsi="Baskerville Old Face"/>
          <w:b/>
          <w:bCs/>
          <w:sz w:val="24"/>
          <w:szCs w:val="24"/>
        </w:rPr>
        <w:t xml:space="preserve"> están encarnados en una especie de capa material como la de un huevo, hay un “adentro” que contiene lo que consideramos de interés y un “afuera” </w:t>
      </w:r>
      <w:r w:rsidR="007815E8">
        <w:rPr>
          <w:rFonts w:ascii="Baskerville Old Face" w:hAnsi="Baskerville Old Face"/>
          <w:b/>
          <w:bCs/>
          <w:sz w:val="24"/>
          <w:szCs w:val="24"/>
        </w:rPr>
        <w:t>(un</w:t>
      </w:r>
      <w:r w:rsidR="00C409A7">
        <w:rPr>
          <w:rFonts w:ascii="Baskerville Old Face" w:hAnsi="Baskerville Old Face"/>
          <w:b/>
          <w:bCs/>
          <w:sz w:val="24"/>
          <w:szCs w:val="24"/>
        </w:rPr>
        <w:t xml:space="preserve"> entorno un </w:t>
      </w:r>
      <w:r w:rsidR="007815E8">
        <w:rPr>
          <w:rFonts w:ascii="Baskerville Old Face" w:hAnsi="Baskerville Old Face"/>
          <w:b/>
          <w:bCs/>
          <w:sz w:val="24"/>
          <w:szCs w:val="24"/>
        </w:rPr>
        <w:t>ambiente)</w:t>
      </w:r>
      <w:r w:rsidR="00C409A7">
        <w:rPr>
          <w:rFonts w:ascii="Baskerville Old Face" w:hAnsi="Baskerville Old Face"/>
          <w:b/>
          <w:bCs/>
          <w:sz w:val="24"/>
          <w:szCs w:val="24"/>
        </w:rPr>
        <w:t xml:space="preserve">. </w:t>
      </w:r>
    </w:p>
    <w:p w14:paraId="268E0948" w14:textId="5118EA2B" w:rsidR="00C409A7" w:rsidRDefault="00C409A7" w:rsidP="00590F31">
      <w:pPr>
        <w:jc w:val="both"/>
        <w:rPr>
          <w:rFonts w:ascii="Baskerville Old Face" w:hAnsi="Baskerville Old Face"/>
          <w:b/>
          <w:bCs/>
          <w:sz w:val="24"/>
          <w:szCs w:val="24"/>
        </w:rPr>
      </w:pPr>
      <w:r>
        <w:rPr>
          <w:rFonts w:ascii="Baskerville Old Face" w:hAnsi="Baskerville Old Face"/>
          <w:b/>
          <w:bCs/>
          <w:sz w:val="24"/>
          <w:szCs w:val="24"/>
        </w:rPr>
        <w:t xml:space="preserve">“casa adentro”, en la dimensión personal correspondería a la noción de </w:t>
      </w:r>
      <w:r w:rsidR="007815E8">
        <w:rPr>
          <w:rFonts w:ascii="Baskerville Old Face" w:hAnsi="Baskerville Old Face"/>
          <w:b/>
          <w:bCs/>
          <w:sz w:val="24"/>
          <w:szCs w:val="24"/>
        </w:rPr>
        <w:t>“foro</w:t>
      </w:r>
      <w:r>
        <w:rPr>
          <w:rFonts w:ascii="Baskerville Old Face" w:hAnsi="Baskerville Old Face"/>
          <w:b/>
          <w:bCs/>
          <w:sz w:val="24"/>
          <w:szCs w:val="24"/>
        </w:rPr>
        <w:t xml:space="preserve"> (o fuero) interno “, su virtud es permitirnos tratar, con mayor claridad, los distintos espacios de </w:t>
      </w:r>
      <w:r w:rsidR="007815E8">
        <w:rPr>
          <w:rFonts w:ascii="Baskerville Old Face" w:hAnsi="Baskerville Old Face"/>
          <w:b/>
          <w:bCs/>
          <w:sz w:val="24"/>
          <w:szCs w:val="24"/>
        </w:rPr>
        <w:t>experiencia:</w:t>
      </w:r>
      <w:r>
        <w:rPr>
          <w:rFonts w:ascii="Baskerville Old Face" w:hAnsi="Baskerville Old Face"/>
          <w:b/>
          <w:bCs/>
          <w:sz w:val="24"/>
          <w:szCs w:val="24"/>
        </w:rPr>
        <w:t xml:space="preserve"> de </w:t>
      </w:r>
      <w:r w:rsidR="007815E8">
        <w:rPr>
          <w:rFonts w:ascii="Baskerville Old Face" w:hAnsi="Baskerville Old Face"/>
          <w:b/>
          <w:bCs/>
          <w:sz w:val="24"/>
          <w:szCs w:val="24"/>
        </w:rPr>
        <w:t>primera,</w:t>
      </w:r>
      <w:r>
        <w:rPr>
          <w:rFonts w:ascii="Baskerville Old Face" w:hAnsi="Baskerville Old Face"/>
          <w:b/>
          <w:bCs/>
          <w:sz w:val="24"/>
          <w:szCs w:val="24"/>
        </w:rPr>
        <w:t xml:space="preserve"> segunda y tercera persona, por </w:t>
      </w:r>
      <w:r w:rsidR="007815E8">
        <w:rPr>
          <w:rFonts w:ascii="Baskerville Old Face" w:hAnsi="Baskerville Old Face"/>
          <w:b/>
          <w:bCs/>
          <w:sz w:val="24"/>
          <w:szCs w:val="24"/>
        </w:rPr>
        <w:t>ejemplo,</w:t>
      </w:r>
      <w:r>
        <w:rPr>
          <w:rFonts w:ascii="Baskerville Old Face" w:hAnsi="Baskerville Old Face"/>
          <w:b/>
          <w:bCs/>
          <w:sz w:val="24"/>
          <w:szCs w:val="24"/>
        </w:rPr>
        <w:t xml:space="preserve"> creo que aclara el sentido del qué, el por qué y el para qué del diálogo.</w:t>
      </w:r>
    </w:p>
    <w:p w14:paraId="792EE864" w14:textId="1852D4F3" w:rsidR="00C409A7" w:rsidRDefault="00C409A7" w:rsidP="00590F31">
      <w:pPr>
        <w:jc w:val="both"/>
        <w:rPr>
          <w:rFonts w:ascii="Baskerville Old Face" w:hAnsi="Baskerville Old Face"/>
          <w:b/>
          <w:bCs/>
          <w:sz w:val="24"/>
          <w:szCs w:val="24"/>
        </w:rPr>
      </w:pPr>
      <w:r>
        <w:rPr>
          <w:rFonts w:ascii="Baskerville Old Face" w:hAnsi="Baskerville Old Face"/>
          <w:b/>
          <w:bCs/>
          <w:sz w:val="24"/>
          <w:szCs w:val="24"/>
        </w:rPr>
        <w:t xml:space="preserve">El interés por el conocimiento indígena tradicional u originario estuvo motivado por el reconocimiento de líderes científicos y técnicos de su ignorancia de </w:t>
      </w:r>
      <w:r w:rsidR="007815E8">
        <w:rPr>
          <w:rFonts w:ascii="Baskerville Old Face" w:hAnsi="Baskerville Old Face"/>
          <w:b/>
          <w:bCs/>
          <w:sz w:val="24"/>
          <w:szCs w:val="24"/>
        </w:rPr>
        <w:t>áreas cruciales</w:t>
      </w:r>
      <w:r>
        <w:rPr>
          <w:rFonts w:ascii="Baskerville Old Face" w:hAnsi="Baskerville Old Face"/>
          <w:b/>
          <w:bCs/>
          <w:sz w:val="24"/>
          <w:szCs w:val="24"/>
        </w:rPr>
        <w:t xml:space="preserve"> para la preservación del sustento de la vida y de los equilibrios ecológicos del planeta…</w:t>
      </w:r>
    </w:p>
    <w:p w14:paraId="123C68AF" w14:textId="377396C2" w:rsidR="00C409A7" w:rsidRDefault="00C409A7" w:rsidP="00590F31">
      <w:pPr>
        <w:jc w:val="both"/>
        <w:rPr>
          <w:rFonts w:ascii="Baskerville Old Face" w:hAnsi="Baskerville Old Face"/>
          <w:b/>
          <w:bCs/>
          <w:sz w:val="24"/>
          <w:szCs w:val="24"/>
        </w:rPr>
      </w:pPr>
      <w:r>
        <w:rPr>
          <w:rFonts w:ascii="Baskerville Old Face" w:hAnsi="Baskerville Old Face"/>
          <w:b/>
          <w:bCs/>
          <w:sz w:val="24"/>
          <w:szCs w:val="24"/>
        </w:rPr>
        <w:t xml:space="preserve">La agricultura de alta tecnología en su versión contemporánea de introducción de variedades </w:t>
      </w:r>
      <w:r w:rsidR="007815E8">
        <w:rPr>
          <w:rFonts w:ascii="Baskerville Old Face" w:hAnsi="Baskerville Old Face"/>
          <w:b/>
          <w:bCs/>
          <w:sz w:val="24"/>
          <w:szCs w:val="24"/>
        </w:rPr>
        <w:t>transgénicas,</w:t>
      </w:r>
      <w:r>
        <w:rPr>
          <w:rFonts w:ascii="Baskerville Old Face" w:hAnsi="Baskerville Old Face"/>
          <w:b/>
          <w:bCs/>
          <w:sz w:val="24"/>
          <w:szCs w:val="24"/>
        </w:rPr>
        <w:t xml:space="preserve"> constituye una amenaza a la agrobiodiversidad </w:t>
      </w:r>
      <w:r w:rsidR="005676AB">
        <w:rPr>
          <w:rFonts w:ascii="Baskerville Old Face" w:hAnsi="Baskerville Old Face"/>
          <w:b/>
          <w:bCs/>
          <w:sz w:val="24"/>
          <w:szCs w:val="24"/>
        </w:rPr>
        <w:t>planetaria criada por milenios por sus cultivadores campesinos.</w:t>
      </w:r>
    </w:p>
    <w:p w14:paraId="0B380C2F" w14:textId="78ACFBB2" w:rsidR="005676AB" w:rsidRDefault="005676AB" w:rsidP="00590F31">
      <w:pPr>
        <w:jc w:val="both"/>
        <w:rPr>
          <w:rFonts w:ascii="Baskerville Old Face" w:hAnsi="Baskerville Old Face"/>
          <w:b/>
          <w:bCs/>
          <w:sz w:val="24"/>
          <w:szCs w:val="24"/>
        </w:rPr>
      </w:pPr>
      <w:r>
        <w:rPr>
          <w:rFonts w:ascii="Baskerville Old Face" w:hAnsi="Baskerville Old Face"/>
          <w:b/>
          <w:bCs/>
          <w:sz w:val="24"/>
          <w:szCs w:val="24"/>
        </w:rPr>
        <w:t xml:space="preserve">Aunque ha habido una tendencia entre </w:t>
      </w:r>
      <w:r w:rsidR="007815E8">
        <w:rPr>
          <w:rFonts w:ascii="Baskerville Old Face" w:hAnsi="Baskerville Old Face"/>
          <w:b/>
          <w:bCs/>
          <w:sz w:val="24"/>
          <w:szCs w:val="24"/>
        </w:rPr>
        <w:t>las sociedades</w:t>
      </w:r>
      <w:r>
        <w:rPr>
          <w:rFonts w:ascii="Baskerville Old Face" w:hAnsi="Baskerville Old Face"/>
          <w:b/>
          <w:bCs/>
          <w:sz w:val="24"/>
          <w:szCs w:val="24"/>
        </w:rPr>
        <w:t xml:space="preserve"> modernas de considerar el conocimiento ecológico local como </w:t>
      </w:r>
      <w:r w:rsidR="007815E8">
        <w:rPr>
          <w:rFonts w:ascii="Baskerville Old Face" w:hAnsi="Baskerville Old Face"/>
          <w:b/>
          <w:bCs/>
          <w:sz w:val="24"/>
          <w:szCs w:val="24"/>
        </w:rPr>
        <w:t>“primitivo</w:t>
      </w:r>
      <w:r>
        <w:rPr>
          <w:rFonts w:ascii="Baskerville Old Face" w:hAnsi="Baskerville Old Face"/>
          <w:b/>
          <w:bCs/>
          <w:sz w:val="24"/>
          <w:szCs w:val="24"/>
        </w:rPr>
        <w:t xml:space="preserve">” y </w:t>
      </w:r>
      <w:r w:rsidR="007815E8">
        <w:rPr>
          <w:rFonts w:ascii="Baskerville Old Face" w:hAnsi="Baskerville Old Face"/>
          <w:b/>
          <w:bCs/>
          <w:sz w:val="24"/>
          <w:szCs w:val="24"/>
        </w:rPr>
        <w:t>obsoleto,</w:t>
      </w:r>
      <w:r>
        <w:rPr>
          <w:rFonts w:ascii="Baskerville Old Face" w:hAnsi="Baskerville Old Face"/>
          <w:b/>
          <w:bCs/>
          <w:sz w:val="24"/>
          <w:szCs w:val="24"/>
        </w:rPr>
        <w:t xml:space="preserve"> es cada vez más claro que éste tiene una tremenda relevancia actual.</w:t>
      </w:r>
    </w:p>
    <w:p w14:paraId="7C24F7E2" w14:textId="253D8241" w:rsidR="005676AB" w:rsidRDefault="005676AB" w:rsidP="00590F31">
      <w:pPr>
        <w:jc w:val="both"/>
        <w:rPr>
          <w:rFonts w:ascii="Baskerville Old Face" w:hAnsi="Baskerville Old Face"/>
          <w:b/>
          <w:bCs/>
          <w:sz w:val="24"/>
          <w:szCs w:val="24"/>
        </w:rPr>
      </w:pPr>
      <w:r>
        <w:rPr>
          <w:rFonts w:ascii="Baskerville Old Face" w:hAnsi="Baskerville Old Face"/>
          <w:b/>
          <w:bCs/>
          <w:sz w:val="24"/>
          <w:szCs w:val="24"/>
        </w:rPr>
        <w:t xml:space="preserve">La afirmación cultural andina no es una posición </w:t>
      </w:r>
      <w:r w:rsidR="007815E8">
        <w:rPr>
          <w:rFonts w:ascii="Baskerville Old Face" w:hAnsi="Baskerville Old Face"/>
          <w:b/>
          <w:bCs/>
          <w:sz w:val="24"/>
          <w:szCs w:val="24"/>
        </w:rPr>
        <w:t>política.</w:t>
      </w:r>
      <w:r>
        <w:rPr>
          <w:rFonts w:ascii="Baskerville Old Face" w:hAnsi="Baskerville Old Face"/>
          <w:b/>
          <w:bCs/>
          <w:sz w:val="24"/>
          <w:szCs w:val="24"/>
        </w:rPr>
        <w:t xml:space="preserve"> Nuestro mundo vivo de crianza no sabe de poderes ni de luchas por el poder.</w:t>
      </w:r>
    </w:p>
    <w:p w14:paraId="3C217CC7" w14:textId="64A52FB4" w:rsidR="005676AB" w:rsidRDefault="005676AB" w:rsidP="00590F31">
      <w:pPr>
        <w:jc w:val="both"/>
        <w:rPr>
          <w:rFonts w:ascii="Baskerville Old Face" w:hAnsi="Baskerville Old Face"/>
          <w:b/>
          <w:bCs/>
          <w:sz w:val="24"/>
          <w:szCs w:val="24"/>
        </w:rPr>
      </w:pPr>
      <w:r>
        <w:rPr>
          <w:rFonts w:ascii="Baskerville Old Face" w:hAnsi="Baskerville Old Face"/>
          <w:b/>
          <w:bCs/>
          <w:sz w:val="24"/>
          <w:szCs w:val="24"/>
        </w:rPr>
        <w:t xml:space="preserve">La crianza mutua como característica fundamental del modo de vida comunitario andino </w:t>
      </w:r>
      <w:r w:rsidR="007815E8">
        <w:rPr>
          <w:rFonts w:ascii="Baskerville Old Face" w:hAnsi="Baskerville Old Face"/>
          <w:b/>
          <w:bCs/>
          <w:sz w:val="24"/>
          <w:szCs w:val="24"/>
        </w:rPr>
        <w:t>amazónico.</w:t>
      </w:r>
      <w:r>
        <w:rPr>
          <w:rFonts w:ascii="Baskerville Old Face" w:hAnsi="Baskerville Old Face"/>
          <w:b/>
          <w:bCs/>
          <w:sz w:val="24"/>
          <w:szCs w:val="24"/>
        </w:rPr>
        <w:t xml:space="preserve"> La crianza la entendemos como un aprender a </w:t>
      </w:r>
      <w:r w:rsidR="007815E8">
        <w:rPr>
          <w:rFonts w:ascii="Baskerville Old Face" w:hAnsi="Baskerville Old Face"/>
          <w:b/>
          <w:bCs/>
          <w:sz w:val="24"/>
          <w:szCs w:val="24"/>
        </w:rPr>
        <w:t>aprender,</w:t>
      </w:r>
      <w:r>
        <w:rPr>
          <w:rFonts w:ascii="Baskerville Old Face" w:hAnsi="Baskerville Old Face"/>
          <w:b/>
          <w:bCs/>
          <w:sz w:val="24"/>
          <w:szCs w:val="24"/>
        </w:rPr>
        <w:t xml:space="preserve"> no se </w:t>
      </w:r>
      <w:r w:rsidR="007815E8">
        <w:rPr>
          <w:rFonts w:ascii="Baskerville Old Face" w:hAnsi="Baskerville Old Face"/>
          <w:b/>
          <w:bCs/>
          <w:sz w:val="24"/>
          <w:szCs w:val="24"/>
        </w:rPr>
        <w:t>enseña:</w:t>
      </w:r>
      <w:r>
        <w:rPr>
          <w:rFonts w:ascii="Baskerville Old Face" w:hAnsi="Baskerville Old Face"/>
          <w:b/>
          <w:bCs/>
          <w:sz w:val="24"/>
          <w:szCs w:val="24"/>
        </w:rPr>
        <w:t xml:space="preserve">  se comparte lo que se sabe y se aprende las formas apropiadas de compartir lo que se sabe, se aprende haciendo lo que se quiere saber, el saber es para convivir haciendo juntos todo y con todo, cada uno en lo que toca </w:t>
      </w:r>
      <w:r w:rsidR="007815E8">
        <w:rPr>
          <w:rFonts w:ascii="Baskerville Old Face" w:hAnsi="Baskerville Old Face"/>
          <w:b/>
          <w:bCs/>
          <w:sz w:val="24"/>
          <w:szCs w:val="24"/>
        </w:rPr>
        <w:t>hacer.</w:t>
      </w:r>
      <w:r>
        <w:rPr>
          <w:rFonts w:ascii="Baskerville Old Face" w:hAnsi="Baskerville Old Face"/>
          <w:b/>
          <w:bCs/>
          <w:sz w:val="24"/>
          <w:szCs w:val="24"/>
        </w:rPr>
        <w:t xml:space="preserve"> El diálogo </w:t>
      </w:r>
      <w:r w:rsidR="007815E8">
        <w:rPr>
          <w:rFonts w:ascii="Baskerville Old Face" w:hAnsi="Baskerville Old Face"/>
          <w:b/>
          <w:bCs/>
          <w:sz w:val="24"/>
          <w:szCs w:val="24"/>
        </w:rPr>
        <w:t xml:space="preserve">tiene sentido en ese compartir, en la crianza mutua. </w:t>
      </w:r>
    </w:p>
    <w:p w14:paraId="70E3AE46" w14:textId="3E0D87C4" w:rsidR="007815E8" w:rsidRPr="007815E8" w:rsidRDefault="007815E8" w:rsidP="00590F31">
      <w:pPr>
        <w:jc w:val="both"/>
        <w:rPr>
          <w:rFonts w:ascii="Baskerville Old Face" w:hAnsi="Baskerville Old Face"/>
          <w:b/>
          <w:bCs/>
          <w:sz w:val="24"/>
          <w:szCs w:val="24"/>
          <w:lang w:val="en-US"/>
        </w:rPr>
      </w:pPr>
      <w:r w:rsidRPr="007815E8">
        <w:rPr>
          <w:rFonts w:ascii="Baskerville Old Face" w:hAnsi="Baskerville Old Face"/>
          <w:b/>
          <w:bCs/>
          <w:sz w:val="24"/>
          <w:szCs w:val="24"/>
          <w:highlight w:val="yellow"/>
          <w:lang w:val="en-US"/>
        </w:rPr>
        <w:t>Prof. Sonia Isabel Shupingahua Mesía.</w:t>
      </w:r>
    </w:p>
    <w:p w14:paraId="6BE91F46" w14:textId="7406507D" w:rsidR="00B57FAE" w:rsidRPr="007815E8" w:rsidRDefault="00B57FAE" w:rsidP="00590F31">
      <w:pPr>
        <w:jc w:val="both"/>
        <w:rPr>
          <w:rFonts w:ascii="Baskerville Old Face" w:hAnsi="Baskerville Old Face"/>
          <w:b/>
          <w:bCs/>
          <w:sz w:val="24"/>
          <w:szCs w:val="24"/>
          <w:lang w:val="en-US"/>
        </w:rPr>
      </w:pPr>
    </w:p>
    <w:p w14:paraId="314AB895" w14:textId="6002367C" w:rsidR="00660532" w:rsidRPr="007815E8" w:rsidRDefault="00660532" w:rsidP="00590F31">
      <w:pPr>
        <w:jc w:val="both"/>
        <w:rPr>
          <w:rFonts w:ascii="Baskerville Old Face" w:hAnsi="Baskerville Old Face"/>
          <w:b/>
          <w:bCs/>
          <w:sz w:val="24"/>
          <w:szCs w:val="24"/>
          <w:lang w:val="en-US"/>
        </w:rPr>
      </w:pPr>
    </w:p>
    <w:p w14:paraId="4FF11640" w14:textId="6EEF81F8" w:rsidR="00AB6026" w:rsidRPr="007815E8" w:rsidRDefault="00AB6026" w:rsidP="00590F31">
      <w:pPr>
        <w:jc w:val="both"/>
        <w:rPr>
          <w:rFonts w:ascii="Baskerville Old Face" w:hAnsi="Baskerville Old Face"/>
          <w:b/>
          <w:bCs/>
          <w:sz w:val="24"/>
          <w:szCs w:val="24"/>
          <w:lang w:val="en-US"/>
        </w:rPr>
      </w:pPr>
    </w:p>
    <w:p w14:paraId="7559F66F" w14:textId="77777777" w:rsidR="00AB6026" w:rsidRPr="007815E8" w:rsidRDefault="00AB6026" w:rsidP="00590F31">
      <w:pPr>
        <w:jc w:val="both"/>
        <w:rPr>
          <w:rFonts w:ascii="Baskerville Old Face" w:hAnsi="Baskerville Old Face"/>
          <w:b/>
          <w:bCs/>
          <w:sz w:val="24"/>
          <w:szCs w:val="24"/>
          <w:lang w:val="en-US"/>
        </w:rPr>
      </w:pPr>
    </w:p>
    <w:p w14:paraId="530CF31E" w14:textId="32D7BAA3" w:rsidR="003373C2" w:rsidRPr="007815E8" w:rsidRDefault="003373C2" w:rsidP="00590F31">
      <w:pPr>
        <w:jc w:val="both"/>
        <w:rPr>
          <w:rFonts w:ascii="Baskerville Old Face" w:hAnsi="Baskerville Old Face"/>
          <w:b/>
          <w:bCs/>
          <w:sz w:val="24"/>
          <w:szCs w:val="24"/>
          <w:lang w:val="en-US"/>
        </w:rPr>
      </w:pPr>
    </w:p>
    <w:p w14:paraId="191FD8E8" w14:textId="75D10003" w:rsidR="003373C2" w:rsidRPr="007815E8" w:rsidRDefault="003373C2" w:rsidP="00590F31">
      <w:pPr>
        <w:jc w:val="both"/>
        <w:rPr>
          <w:rFonts w:ascii="Baskerville Old Face" w:hAnsi="Baskerville Old Face"/>
          <w:b/>
          <w:bCs/>
          <w:sz w:val="24"/>
          <w:szCs w:val="24"/>
          <w:lang w:val="en-US"/>
        </w:rPr>
      </w:pPr>
    </w:p>
    <w:p w14:paraId="6DFA7B15" w14:textId="77777777" w:rsidR="003373C2" w:rsidRPr="007815E8" w:rsidRDefault="003373C2" w:rsidP="00590F31">
      <w:pPr>
        <w:jc w:val="both"/>
        <w:rPr>
          <w:rFonts w:ascii="Baskerville Old Face" w:hAnsi="Baskerville Old Face"/>
          <w:b/>
          <w:bCs/>
          <w:sz w:val="24"/>
          <w:szCs w:val="24"/>
          <w:lang w:val="en-US"/>
        </w:rPr>
      </w:pPr>
    </w:p>
    <w:p w14:paraId="66BC504C" w14:textId="77777777" w:rsidR="00590F31" w:rsidRPr="007815E8" w:rsidRDefault="00590F31" w:rsidP="00590F31">
      <w:pPr>
        <w:jc w:val="center"/>
        <w:rPr>
          <w:rFonts w:ascii="Baskerville Old Face" w:hAnsi="Baskerville Old Face"/>
          <w:b/>
          <w:bCs/>
          <w:sz w:val="24"/>
          <w:szCs w:val="24"/>
          <w:lang w:val="en-US"/>
        </w:rPr>
      </w:pPr>
    </w:p>
    <w:sectPr w:rsidR="00590F31" w:rsidRPr="007815E8" w:rsidSect="007815E8">
      <w:pgSz w:w="11906" w:h="16838"/>
      <w:pgMar w:top="1417" w:right="1701" w:bottom="1417" w:left="1701" w:header="708" w:footer="708" w:gutter="0"/>
      <w:pgBorders w:offsetFrom="page">
        <w:top w:val="flowersModern2" w:sz="14" w:space="24" w:color="FF0000"/>
        <w:left w:val="flowersModern2" w:sz="14" w:space="24" w:color="FF0000"/>
        <w:bottom w:val="flowersModern2" w:sz="14" w:space="24" w:color="FF0000"/>
        <w:right w:val="flowersModern2" w:sz="1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31"/>
    <w:rsid w:val="003373C2"/>
    <w:rsid w:val="005676AB"/>
    <w:rsid w:val="00590F31"/>
    <w:rsid w:val="00660532"/>
    <w:rsid w:val="007815E8"/>
    <w:rsid w:val="00AB6026"/>
    <w:rsid w:val="00B57FAE"/>
    <w:rsid w:val="00BB520B"/>
    <w:rsid w:val="00C378C4"/>
    <w:rsid w:val="00C4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E80385"/>
  <w15:chartTrackingRefBased/>
  <w15:docId w15:val="{5EB4B050-C143-4127-B34E-18194DE2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AFC3B-E574-419D-A5F1-5FE836CFE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Isabel Shupingahua Mesia</dc:creator>
  <cp:keywords/>
  <dc:description/>
  <cp:lastModifiedBy>Sonia Isabel Shupingahua Mesia</cp:lastModifiedBy>
  <cp:revision>1</cp:revision>
  <dcterms:created xsi:type="dcterms:W3CDTF">2021-06-05T01:56:00Z</dcterms:created>
  <dcterms:modified xsi:type="dcterms:W3CDTF">2021-06-05T04:41:00Z</dcterms:modified>
</cp:coreProperties>
</file>